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920" w:rsidRPr="00A55531" w:rsidRDefault="009C3FE9">
      <w:pPr>
        <w:spacing w:after="0" w:line="240" w:lineRule="auto"/>
        <w:jc w:val="center"/>
        <w:rPr>
          <w:rFonts w:cs="Times New Roman"/>
          <w:szCs w:val="28"/>
        </w:rPr>
      </w:pPr>
      <w:r w:rsidRPr="00A55531">
        <w:rPr>
          <w:rFonts w:cs="Times New Roman"/>
          <w:b/>
          <w:szCs w:val="28"/>
        </w:rPr>
        <w:t>BẢN SO SÁNH, THUYẾT MINH</w:t>
      </w:r>
    </w:p>
    <w:p w:rsidR="00B54F18" w:rsidRPr="00A55531" w:rsidRDefault="009C3FE9">
      <w:pPr>
        <w:spacing w:after="0" w:line="240" w:lineRule="auto"/>
        <w:jc w:val="center"/>
        <w:rPr>
          <w:rFonts w:ascii="Times New Roman Bold" w:hAnsi="Times New Roman Bold" w:cs="Times New Roman"/>
          <w:b/>
          <w:spacing w:val="-6"/>
          <w:szCs w:val="28"/>
        </w:rPr>
      </w:pPr>
      <w:r w:rsidRPr="00A55531">
        <w:rPr>
          <w:rFonts w:ascii="Times New Roman Bold" w:hAnsi="Times New Roman Bold" w:cs="Times New Roman"/>
          <w:b/>
          <w:spacing w:val="-6"/>
          <w:szCs w:val="28"/>
        </w:rPr>
        <w:t xml:space="preserve">Dự thảo Quyết định sửa đổi, bổ sung một số điều của Quy chế phối hợp quản lý học sinh, sinh viên ngoại trú và quản lý nhà trọ </w:t>
      </w:r>
    </w:p>
    <w:p w:rsidR="00A55531" w:rsidRDefault="009C3FE9">
      <w:pPr>
        <w:spacing w:after="0" w:line="240" w:lineRule="auto"/>
        <w:jc w:val="center"/>
        <w:rPr>
          <w:rFonts w:ascii="Times New Roman Bold" w:hAnsi="Times New Roman Bold" w:cs="Times New Roman"/>
          <w:b/>
          <w:szCs w:val="28"/>
        </w:rPr>
      </w:pPr>
      <w:r w:rsidRPr="00A55531">
        <w:rPr>
          <w:rFonts w:ascii="Times New Roman Bold" w:hAnsi="Times New Roman Bold" w:cs="Times New Roman"/>
          <w:b/>
          <w:szCs w:val="28"/>
        </w:rPr>
        <w:t xml:space="preserve">trên địa bàn tỉnh Thái Nguyên ban hành kèm theo Quyết định số 32/2026/QĐ-UBND ngày 21/5/2026 </w:t>
      </w:r>
    </w:p>
    <w:p w:rsidR="007D1920" w:rsidRPr="00A55531" w:rsidRDefault="009C3FE9">
      <w:pPr>
        <w:spacing w:after="0" w:line="240" w:lineRule="auto"/>
        <w:jc w:val="center"/>
        <w:rPr>
          <w:rFonts w:ascii="Times New Roman Bold" w:hAnsi="Times New Roman Bold" w:cs="Times New Roman"/>
          <w:szCs w:val="28"/>
        </w:rPr>
      </w:pPr>
      <w:r w:rsidRPr="00A55531">
        <w:rPr>
          <w:rFonts w:ascii="Times New Roman Bold" w:hAnsi="Times New Roman Bold" w:cs="Times New Roman"/>
          <w:b/>
          <w:szCs w:val="28"/>
        </w:rPr>
        <w:t xml:space="preserve">của Ủy ban </w:t>
      </w:r>
      <w:r w:rsidRPr="00A55531">
        <w:rPr>
          <w:rFonts w:ascii="Times New Roman Bold" w:hAnsi="Times New Roman Bold" w:cs="Times New Roman"/>
          <w:b/>
          <w:szCs w:val="28"/>
        </w:rPr>
        <w:t>nhân dân tỉnh Thái Nguyên</w:t>
      </w:r>
    </w:p>
    <w:p w:rsidR="007D1920" w:rsidRPr="00A55531" w:rsidRDefault="009C3FE9">
      <w:pPr>
        <w:spacing w:after="80" w:line="240" w:lineRule="auto"/>
        <w:jc w:val="center"/>
        <w:rPr>
          <w:rFonts w:cs="Times New Roman"/>
          <w:szCs w:val="28"/>
        </w:rPr>
      </w:pPr>
      <w:r w:rsidRPr="00A55531">
        <w:rPr>
          <w:rFonts w:cs="Times New Roman"/>
          <w:i/>
          <w:szCs w:val="28"/>
        </w:rPr>
        <w:t xml:space="preserve">(Kèm theo Công văn số </w:t>
      </w:r>
      <w:r w:rsidR="00066B1F" w:rsidRPr="00A55531">
        <w:rPr>
          <w:rFonts w:cs="Times New Roman"/>
          <w:i/>
          <w:szCs w:val="28"/>
        </w:rPr>
        <w:t xml:space="preserve">          </w:t>
      </w:r>
      <w:r w:rsidRPr="00A55531">
        <w:rPr>
          <w:rFonts w:cs="Times New Roman"/>
          <w:i/>
          <w:szCs w:val="28"/>
        </w:rPr>
        <w:t xml:space="preserve">/SGDĐT-TCHC ngày </w:t>
      </w:r>
      <w:r w:rsidR="00066B1F" w:rsidRPr="00A55531">
        <w:rPr>
          <w:rFonts w:cs="Times New Roman"/>
          <w:i/>
          <w:szCs w:val="28"/>
        </w:rPr>
        <w:t xml:space="preserve">     </w:t>
      </w:r>
      <w:r w:rsidRPr="00A55531">
        <w:rPr>
          <w:rFonts w:cs="Times New Roman"/>
          <w:i/>
          <w:szCs w:val="28"/>
        </w:rPr>
        <w:t xml:space="preserve"> tháng </w:t>
      </w:r>
      <w:r w:rsidR="00066B1F" w:rsidRPr="00A55531">
        <w:rPr>
          <w:rFonts w:cs="Times New Roman"/>
          <w:i/>
          <w:szCs w:val="28"/>
        </w:rPr>
        <w:t xml:space="preserve">     </w:t>
      </w:r>
      <w:r w:rsidRPr="00A55531">
        <w:rPr>
          <w:rFonts w:cs="Times New Roman"/>
          <w:i/>
          <w:szCs w:val="28"/>
        </w:rPr>
        <w:t xml:space="preserve"> năm 2026 của Sở Giáo dục và Đào tạo)</w:t>
      </w:r>
    </w:p>
    <w:p w:rsidR="00A55531" w:rsidRDefault="00A55531">
      <w:pPr>
        <w:spacing w:before="60" w:after="80" w:line="240" w:lineRule="auto"/>
        <w:ind w:firstLine="567"/>
        <w:jc w:val="both"/>
        <w:rPr>
          <w:rFonts w:cs="Times New Roman"/>
          <w:szCs w:val="28"/>
        </w:rPr>
      </w:pPr>
    </w:p>
    <w:p w:rsidR="007D1920" w:rsidRPr="00A55531" w:rsidRDefault="009C3FE9">
      <w:pPr>
        <w:spacing w:before="60" w:after="80" w:line="240" w:lineRule="auto"/>
        <w:ind w:firstLine="567"/>
        <w:jc w:val="both"/>
        <w:rPr>
          <w:rFonts w:cs="Times New Roman"/>
          <w:szCs w:val="28"/>
        </w:rPr>
      </w:pPr>
      <w:r w:rsidRPr="00A55531">
        <w:rPr>
          <w:rFonts w:cs="Times New Roman"/>
          <w:szCs w:val="28"/>
        </w:rPr>
        <w:t>Tại thời điểm Quyết định số 32/2026/QĐ-UBND được ban hành và có hiệu lực, Thông tư số 27/2009/TT-BGDĐT vẫn đang có hiệu lực.</w:t>
      </w:r>
      <w:r w:rsidRPr="00A55531">
        <w:rPr>
          <w:rFonts w:cs="Times New Roman"/>
          <w:szCs w:val="28"/>
        </w:rPr>
        <w:t xml:space="preserve"> Thông tư số 40/2026/TT-BGDĐT có hiệu lực từ ngày 30/6/2026 và thay thế Thông tư số 27/2009/TT-BGDĐT. Vì vậy, việc sửa đổi, bổ sung </w:t>
      </w:r>
      <w:r w:rsidRPr="00A55531">
        <w:rPr>
          <w:rFonts w:cs="Times New Roman"/>
          <w:szCs w:val="28"/>
        </w:rPr>
        <w:t xml:space="preserve">nhằm cập nhật Quy chế cho phù hợp với pháp luật hiện hành kể từ khi Thông tư số 40/2026/TT-BGDĐT có hiệu lực; không </w:t>
      </w:r>
      <w:r w:rsidRPr="00A55531">
        <w:rPr>
          <w:rFonts w:cs="Times New Roman"/>
          <w:szCs w:val="28"/>
        </w:rPr>
        <w:t>làm thay đổi việc đánh giá căn cứ pháp lý của Quyết định số 32/2026/QĐ-UBND tại thời điểm ban hành.</w:t>
      </w:r>
    </w:p>
    <w:tbl>
      <w:tblPr>
        <w:tblW w:w="155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969"/>
        <w:gridCol w:w="3969"/>
        <w:gridCol w:w="3458"/>
        <w:gridCol w:w="3572"/>
      </w:tblGrid>
      <w:tr w:rsidR="00A26C88" w:rsidRPr="00A55531" w:rsidTr="008C7C97">
        <w:trPr>
          <w:tblHeader/>
          <w:jc w:val="center"/>
        </w:trPr>
        <w:tc>
          <w:tcPr>
            <w:tcW w:w="630" w:type="dxa"/>
            <w:tcMar>
              <w:top w:w="35" w:type="dxa"/>
              <w:left w:w="45" w:type="dxa"/>
              <w:bottom w:w="35" w:type="dxa"/>
              <w:right w:w="45" w:type="dxa"/>
            </w:tcMar>
            <w:vAlign w:val="center"/>
          </w:tcPr>
          <w:p w:rsidR="00A26C88" w:rsidRPr="00A55531" w:rsidRDefault="00A26C88" w:rsidP="008C7C97">
            <w:pPr>
              <w:spacing w:after="0" w:line="240" w:lineRule="auto"/>
              <w:jc w:val="center"/>
              <w:rPr>
                <w:szCs w:val="28"/>
              </w:rPr>
            </w:pPr>
            <w:bookmarkStart w:id="0" w:name="_GoBack"/>
            <w:r w:rsidRPr="00A55531">
              <w:rPr>
                <w:b/>
                <w:szCs w:val="28"/>
              </w:rPr>
              <w:t>STT</w:t>
            </w:r>
          </w:p>
        </w:tc>
        <w:tc>
          <w:tcPr>
            <w:tcW w:w="3969" w:type="dxa"/>
            <w:tcMar>
              <w:top w:w="35" w:type="dxa"/>
              <w:left w:w="45" w:type="dxa"/>
              <w:bottom w:w="35" w:type="dxa"/>
              <w:right w:w="45" w:type="dxa"/>
            </w:tcMar>
            <w:vAlign w:val="center"/>
          </w:tcPr>
          <w:p w:rsidR="00A26C88" w:rsidRPr="00A55531" w:rsidRDefault="00A26C88" w:rsidP="008C7C97">
            <w:pPr>
              <w:spacing w:after="0" w:line="240" w:lineRule="auto"/>
              <w:jc w:val="center"/>
              <w:rPr>
                <w:szCs w:val="28"/>
              </w:rPr>
            </w:pPr>
            <w:r w:rsidRPr="00A55531">
              <w:rPr>
                <w:b/>
                <w:szCs w:val="28"/>
              </w:rPr>
              <w:t>Quy định hiện hành</w:t>
            </w:r>
          </w:p>
        </w:tc>
        <w:tc>
          <w:tcPr>
            <w:tcW w:w="3969" w:type="dxa"/>
            <w:tcMar>
              <w:top w:w="35" w:type="dxa"/>
              <w:left w:w="45" w:type="dxa"/>
              <w:bottom w:w="35" w:type="dxa"/>
              <w:right w:w="45" w:type="dxa"/>
            </w:tcMar>
            <w:vAlign w:val="center"/>
          </w:tcPr>
          <w:p w:rsidR="00A26C88" w:rsidRPr="00A55531" w:rsidRDefault="00A26C88" w:rsidP="008C7C97">
            <w:pPr>
              <w:spacing w:after="0" w:line="240" w:lineRule="auto"/>
              <w:jc w:val="center"/>
              <w:rPr>
                <w:szCs w:val="28"/>
              </w:rPr>
            </w:pPr>
            <w:r w:rsidRPr="00A55531">
              <w:rPr>
                <w:b/>
                <w:szCs w:val="28"/>
              </w:rPr>
              <w:t>Dự thảo sửa đổi, bổ sung</w:t>
            </w:r>
          </w:p>
        </w:tc>
        <w:tc>
          <w:tcPr>
            <w:tcW w:w="3458" w:type="dxa"/>
            <w:tcMar>
              <w:top w:w="35" w:type="dxa"/>
              <w:left w:w="45" w:type="dxa"/>
              <w:bottom w:w="35" w:type="dxa"/>
              <w:right w:w="45" w:type="dxa"/>
            </w:tcMar>
            <w:vAlign w:val="center"/>
          </w:tcPr>
          <w:p w:rsidR="00A26C88" w:rsidRPr="00A55531" w:rsidRDefault="00A26C88" w:rsidP="008C7C97">
            <w:pPr>
              <w:spacing w:after="0" w:line="240" w:lineRule="auto"/>
              <w:jc w:val="center"/>
              <w:rPr>
                <w:szCs w:val="28"/>
              </w:rPr>
            </w:pPr>
            <w:r w:rsidRPr="00A55531">
              <w:rPr>
                <w:b/>
                <w:szCs w:val="28"/>
              </w:rPr>
              <w:t>Lý do, vấn đề cần xử lý</w:t>
            </w:r>
          </w:p>
        </w:tc>
        <w:tc>
          <w:tcPr>
            <w:tcW w:w="3572" w:type="dxa"/>
            <w:tcMar>
              <w:top w:w="35" w:type="dxa"/>
              <w:left w:w="45" w:type="dxa"/>
              <w:bottom w:w="35" w:type="dxa"/>
              <w:right w:w="45" w:type="dxa"/>
            </w:tcMar>
            <w:vAlign w:val="center"/>
          </w:tcPr>
          <w:p w:rsidR="00A26C88" w:rsidRPr="00A55531" w:rsidRDefault="00A26C88" w:rsidP="008C7C97">
            <w:pPr>
              <w:spacing w:after="0" w:line="240" w:lineRule="auto"/>
              <w:jc w:val="center"/>
              <w:rPr>
                <w:szCs w:val="28"/>
              </w:rPr>
            </w:pPr>
            <w:r w:rsidRPr="00A55531">
              <w:rPr>
                <w:b/>
                <w:szCs w:val="28"/>
              </w:rPr>
              <w:t>Căn cứ pháp lý và thuyết minh</w:t>
            </w:r>
          </w:p>
        </w:tc>
      </w:tr>
      <w:tr w:rsidR="00A26C88" w:rsidRPr="00A55531" w:rsidTr="008C7C97">
        <w:trPr>
          <w:jc w:val="center"/>
        </w:trPr>
        <w:tc>
          <w:tcPr>
            <w:tcW w:w="630" w:type="dxa"/>
            <w:tcMar>
              <w:top w:w="35" w:type="dxa"/>
              <w:left w:w="45" w:type="dxa"/>
              <w:bottom w:w="35" w:type="dxa"/>
              <w:right w:w="45" w:type="dxa"/>
            </w:tcMar>
          </w:tcPr>
          <w:p w:rsidR="00A26C88" w:rsidRPr="00A55531" w:rsidRDefault="00A26C88" w:rsidP="008C7C97">
            <w:pPr>
              <w:spacing w:after="0" w:line="240" w:lineRule="auto"/>
              <w:jc w:val="center"/>
              <w:rPr>
                <w:szCs w:val="28"/>
              </w:rPr>
            </w:pPr>
            <w:r w:rsidRPr="00A55531">
              <w:rPr>
                <w:b/>
                <w:szCs w:val="28"/>
              </w:rPr>
              <w:t>1</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1 Điều 6:</w:t>
            </w:r>
            <w:r w:rsidRPr="00A55531">
              <w:rPr>
                <w:szCs w:val="28"/>
              </w:rPr>
              <w:br/>
              <w:t>“1. Chủ trì, phối hợp với các sở, ngành liên quan và các cơ sở giáo dục trên địa bàn tỉnh tổ chức triển khai thực hiện Quy chế; hướng dẫn, theo dõi, kiểm tra và đánh giá hằng năm công tác quản lý học sinh, sinh viên ngoại trú và quản lý nhà trọ theo quy định.”</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1 Điều 6:</w:t>
            </w:r>
            <w:r w:rsidRPr="00A55531">
              <w:rPr>
                <w:szCs w:val="28"/>
              </w:rPr>
              <w:br/>
              <w:t>“1. Chỉ đạo, hướng dẫn, đôn đốc, kiểm tra các cơ sở giáo dục trực thuộc Sở trong việc thực hiện công tác quản lý, hỗ trợ học sinh, sinh viên ngoại trú theo quy định của pháp luật.”</w:t>
            </w:r>
          </w:p>
        </w:tc>
        <w:tc>
          <w:tcPr>
            <w:tcW w:w="3458"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Quy định hiện hành chưa phân định rõ phạm vi trách nhiệm của Sở Giáo dục và Đào tạo khi giao Sở tổ chức triển khai, hướng dẫn, theo dõi, kiểm tra, đánh giá công tác quản lý học sinh, sinh viên ngoại trú trên địa bàn tỉnh, đồng thời bao gồm cả nội dung quản lý nhà trọ. Cách quy định này có thể dẫn đến cách hiểu Sở Giáo dục và Đào tạo thực hiện nhiệm vụ quản lý đối với cả các cơ sở giáo dục không trực thuộc Sở và tham gia thực hiện chức năng quản lý nhà nước chuyên ngành về nhà trọ.</w:t>
            </w:r>
          </w:p>
          <w:p w:rsidR="00A26C88" w:rsidRPr="00A55531" w:rsidRDefault="00A26C88" w:rsidP="008C7C97">
            <w:pPr>
              <w:spacing w:after="0" w:line="240" w:lineRule="auto"/>
              <w:rPr>
                <w:szCs w:val="28"/>
              </w:rPr>
            </w:pPr>
            <w:r w:rsidRPr="00A55531">
              <w:rPr>
                <w:szCs w:val="28"/>
              </w:rPr>
              <w:lastRenderedPageBreak/>
              <w:t>Dự thảo sửa đổi theo hướng xác định rõ phạm vi trách nhiệm của Sở Giáo dục và Đào tạo: chỉ đạo, hướng dẫn, đôn đốc, kiểm tra đối với các cơ sở giáo dục trực thuộc Sở trong công tác quản lý, hỗ trợ học sinh, sinh viên ngoại trú; không giao Sở thực hiện nhiệm vụ quản lý nhà nước chuyên ngành về nhà trọ.</w:t>
            </w:r>
          </w:p>
        </w:tc>
        <w:tc>
          <w:tcPr>
            <w:tcW w:w="3572"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Điều 26 Thông tư 40/2026/TT-BGDĐT quy định cơ quan quản lý trực tiếp chỉ đạo, hướng dẫn, đôn đốc, kiểm tra đối với các nhà trường trực thuộc trong thực hiện công tác sinh viên.</w:t>
            </w:r>
            <w:r w:rsidRPr="00A55531">
              <w:rPr>
                <w:szCs w:val="28"/>
              </w:rPr>
              <w:br/>
              <w:t>- Thông tư 15/2025/TT-BGDĐT, được sửa đổi bởi Thông tư 45/2026/TT-BGDĐT, xác định chức năng quản lý nhà nước của Sở trong lĩnh vực giáo dục và đào tạo; không giao Sở chức năng quản lý nhà nước chuyên ngành về nhà ở, nhà trọ.</w:t>
            </w:r>
            <w:r w:rsidRPr="00A55531">
              <w:rPr>
                <w:szCs w:val="28"/>
              </w:rPr>
              <w:br/>
              <w:t xml:space="preserve">- Điều 5, Điều 7, Điều 10, Điều 14 và Điều 15 Quy chế </w:t>
            </w:r>
            <w:r w:rsidRPr="00A55531">
              <w:rPr>
                <w:szCs w:val="28"/>
              </w:rPr>
              <w:lastRenderedPageBreak/>
              <w:t>đã phân công trách nhiệm về nhà trọ, xây dựng, môi trường, cư trú, an ninh, trật tự cho các cơ quan, địa phương có thẩm quyền.</w:t>
            </w:r>
          </w:p>
        </w:tc>
      </w:tr>
      <w:tr w:rsidR="00A26C88" w:rsidRPr="00A55531" w:rsidTr="008C7C97">
        <w:trPr>
          <w:jc w:val="center"/>
        </w:trPr>
        <w:tc>
          <w:tcPr>
            <w:tcW w:w="630" w:type="dxa"/>
            <w:tcMar>
              <w:top w:w="35" w:type="dxa"/>
              <w:left w:w="45" w:type="dxa"/>
              <w:bottom w:w="35" w:type="dxa"/>
              <w:right w:w="45" w:type="dxa"/>
            </w:tcMar>
          </w:tcPr>
          <w:p w:rsidR="00A26C88" w:rsidRPr="00A55531" w:rsidRDefault="00A26C88" w:rsidP="008C7C97">
            <w:pPr>
              <w:spacing w:after="0" w:line="240" w:lineRule="auto"/>
              <w:jc w:val="center"/>
              <w:rPr>
                <w:szCs w:val="28"/>
              </w:rPr>
            </w:pPr>
            <w:r w:rsidRPr="00A55531">
              <w:rPr>
                <w:b/>
                <w:szCs w:val="28"/>
              </w:rPr>
              <w:lastRenderedPageBreak/>
              <w:t>2</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2 Điều 6:</w:t>
            </w:r>
            <w:r w:rsidRPr="00A55531">
              <w:rPr>
                <w:szCs w:val="28"/>
              </w:rPr>
              <w:br/>
              <w:t>“2. Chủ trì, phối hợp với Đại học Thái Nguyên, các sở, ngành liên quan và các cơ sở giáo dục tổng hợp tình hình quản lý học sinh, sinh viên ngoại trú và quản lý nhà trọ trên địa bàn tỉnh, bao gồm các cơ sở giáo dục nghề nghiệp; báo cáo theo quy định hoặc khi có yêu cầu của cơ quan có thẩm quyền.”</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2 Điều 6:</w:t>
            </w:r>
            <w:r w:rsidRPr="00A55531">
              <w:rPr>
                <w:szCs w:val="28"/>
              </w:rPr>
              <w:br/>
              <w:t>“2. Thực hiện thống kê, tổng hợp, báo cáo về công tác quản lý học sinh, sinh viên ngoại trú đối với các cơ sở giáo dục trực thuộc Sở theo quy định của pháp luật.”</w:t>
            </w:r>
          </w:p>
        </w:tc>
        <w:tc>
          <w:tcPr>
            <w:tcW w:w="3458"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Quy định hiện hành giao Sở tổng hợp cả tình hình “quản lý nhà trọ” trên toàn tỉnh và bao quát cả các cơ sở giáo dục không thuộc quan hệ quản lý trực tiếp. Dự thảo thu hẹp trách nhiệm thống kê, tổng hợp, báo cáo về đúng phạm vi quản lý trực tiếp của Sở, không hình thành chế độ báo cáo từ Đại học Thái Nguyên hoặc cơ sở giáo dục không trực thuộc về Sở nếu pháp luật chuyên ngành không quy định.</w:t>
            </w:r>
          </w:p>
        </w:tc>
        <w:tc>
          <w:tcPr>
            <w:tcW w:w="3572"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 Khoản 12 Điều 4 Thông tư 15/2025/TT-BGDĐT gắn công tác cập nhật dữ liệu, thống kê, báo cáo của Sở với phạm vi, thẩm quyền quản lý.</w:t>
            </w:r>
            <w:r w:rsidRPr="00A55531">
              <w:rPr>
                <w:szCs w:val="28"/>
              </w:rPr>
              <w:br/>
              <w:t>- Điều 26 Thông tư 40/2026/TT-BGDĐT phân định trách nhiệm của cơ quan quản lý trực tiếp đối với nhà trường trực thuộc.</w:t>
            </w:r>
            <w:r w:rsidRPr="00A55531">
              <w:rPr>
                <w:szCs w:val="28"/>
              </w:rPr>
              <w:br/>
              <w:t>- Việc quản lý nhà trọ tiếp tục do UBND cấp xã và cơ quan chuyên ngành thực hiện theo các điều khoản khác của Quy chế.</w:t>
            </w:r>
          </w:p>
        </w:tc>
      </w:tr>
      <w:tr w:rsidR="00A26C88" w:rsidRPr="00A55531" w:rsidTr="008C7C97">
        <w:trPr>
          <w:jc w:val="center"/>
        </w:trPr>
        <w:tc>
          <w:tcPr>
            <w:tcW w:w="630" w:type="dxa"/>
            <w:tcMar>
              <w:top w:w="35" w:type="dxa"/>
              <w:left w:w="45" w:type="dxa"/>
              <w:bottom w:w="35" w:type="dxa"/>
              <w:right w:w="45" w:type="dxa"/>
            </w:tcMar>
          </w:tcPr>
          <w:p w:rsidR="00A26C88" w:rsidRPr="00A55531" w:rsidRDefault="00A26C88" w:rsidP="008C7C97">
            <w:pPr>
              <w:spacing w:after="0" w:line="240" w:lineRule="auto"/>
              <w:jc w:val="center"/>
              <w:rPr>
                <w:szCs w:val="28"/>
              </w:rPr>
            </w:pPr>
            <w:r w:rsidRPr="00A55531">
              <w:rPr>
                <w:b/>
                <w:szCs w:val="28"/>
              </w:rPr>
              <w:t>3</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3 Điều 6:</w:t>
            </w:r>
            <w:r w:rsidRPr="00A55531">
              <w:rPr>
                <w:szCs w:val="28"/>
              </w:rPr>
              <w:br/>
              <w:t xml:space="preserve">“3. Chỉ đạo, hướng dẫn các cơ sở </w:t>
            </w:r>
            <w:r w:rsidRPr="00A55531">
              <w:rPr>
                <w:szCs w:val="28"/>
              </w:rPr>
              <w:lastRenderedPageBreak/>
              <w:t>giáo dục nghề nghiệp và các cơ sở giáo dục thuộc phạm vi quản lý thực hiện công tác quản lý học sinh, sinh viên ngoại trú theo quy định của pháp luật.”</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Khoản 3 Điều 6:</w:t>
            </w:r>
          </w:p>
          <w:p w:rsidR="00A26C88" w:rsidRPr="00A55531" w:rsidRDefault="00A26C88" w:rsidP="008C7C97">
            <w:pPr>
              <w:spacing w:after="0" w:line="240" w:lineRule="auto"/>
              <w:rPr>
                <w:szCs w:val="28"/>
              </w:rPr>
            </w:pPr>
            <w:r w:rsidRPr="00A55531">
              <w:rPr>
                <w:szCs w:val="28"/>
              </w:rPr>
              <w:t xml:space="preserve">“3. Phối hợp với Đại học Thái </w:t>
            </w:r>
            <w:r w:rsidRPr="00A55531">
              <w:rPr>
                <w:szCs w:val="28"/>
              </w:rPr>
              <w:lastRenderedPageBreak/>
              <w:t>Nguyên, các cơ sở giáo dục không trực thuộc Sở, Ủy ban nhân dân cấp xã, cơ quan công an và các cơ quan, đơn vị có liên quan trong việc trao đổi thông tin, giải quyết các vụ việc phát sinh liên quan đến học sinh, sinh viên ngoại trú theo chức năng, nhiệm vụ, quyền hạn được giao.”</w:t>
            </w:r>
          </w:p>
        </w:tc>
        <w:tc>
          <w:tcPr>
            <w:tcW w:w="3458"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xml:space="preserve">Cụm “các cơ sở giáo dục nghề nghiệp” trong quy định </w:t>
            </w:r>
            <w:r w:rsidRPr="00A55531">
              <w:rPr>
                <w:szCs w:val="28"/>
              </w:rPr>
              <w:lastRenderedPageBreak/>
              <w:t>hiện hành có phạm vi rộng, có thể bao gồm cơ sở không trực thuộc Sở. Dự thảo không sử dụng quyền “chỉ đạo, hướng dẫn” đối với các chủ thể không trực thuộc; quan hệ với các chủ thể này được xác định là phối hợp.</w:t>
            </w:r>
          </w:p>
        </w:tc>
        <w:tc>
          <w:tcPr>
            <w:tcW w:w="3572"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xml:space="preserve">- Điều 15 Thông tư 40/2026/TT-BGDĐT xác lập </w:t>
            </w:r>
            <w:r w:rsidRPr="00A55531">
              <w:rPr>
                <w:szCs w:val="28"/>
              </w:rPr>
              <w:lastRenderedPageBreak/>
              <w:t>cơ chế phối hợp giữa nhà trường với chính quyền địa phương, cơ quan công an, gia đình và chủ nhà trọ trong quản lý, hỗ trợ sinh viên ngoại trú.</w:t>
            </w:r>
            <w:r w:rsidRPr="00A55531">
              <w:rPr>
                <w:szCs w:val="28"/>
              </w:rPr>
              <w:br/>
              <w:t>- Điều 27 Thông tư 40/2026/TT-BGDĐT quy định trách nhiệm của nhà trường trong tổ chức thực hiện và phối hợp.</w:t>
            </w:r>
            <w:r w:rsidRPr="00A55531">
              <w:rPr>
                <w:szCs w:val="28"/>
              </w:rPr>
              <w:br/>
              <w:t>- Nguyên tắc tại khoản 3 Điều 3 Quy chế yêu cầu phối hợp đúng chức năng, nhiệm vụ, quyền hạn.</w:t>
            </w:r>
          </w:p>
        </w:tc>
      </w:tr>
      <w:tr w:rsidR="00A26C88" w:rsidRPr="00A55531" w:rsidTr="008C7C97">
        <w:trPr>
          <w:jc w:val="center"/>
        </w:trPr>
        <w:tc>
          <w:tcPr>
            <w:tcW w:w="630" w:type="dxa"/>
            <w:tcMar>
              <w:top w:w="35" w:type="dxa"/>
              <w:left w:w="45" w:type="dxa"/>
              <w:bottom w:w="35" w:type="dxa"/>
              <w:right w:w="45" w:type="dxa"/>
            </w:tcMar>
          </w:tcPr>
          <w:p w:rsidR="00A26C88" w:rsidRPr="00A55531" w:rsidRDefault="00A26C88" w:rsidP="008C7C97">
            <w:pPr>
              <w:spacing w:after="0" w:line="240" w:lineRule="auto"/>
              <w:jc w:val="center"/>
              <w:rPr>
                <w:szCs w:val="28"/>
              </w:rPr>
            </w:pPr>
            <w:r w:rsidRPr="00A55531">
              <w:rPr>
                <w:b/>
                <w:szCs w:val="28"/>
              </w:rPr>
              <w:lastRenderedPageBreak/>
              <w:t>4</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1 Điều 16:</w:t>
            </w:r>
            <w:r w:rsidRPr="00A55531">
              <w:rPr>
                <w:szCs w:val="28"/>
              </w:rPr>
              <w:br/>
              <w:t>“1. Sở Giáo dục và Đào tạo chủ trì, tham mưu Ủy ban nhân dân tỉnh tổ chức triển khai Quy chế; hướng dẫn, theo dõi, đôn đốc, kiểm tra, tổng hợp báo cáo hằng năm hoặc đột xuất theo yêu cầu của cơ quan có thẩm quyền.”</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“1. Sở Giáo dục và Đào tạo chủ trì tham mưu Ủy ban nhân dân tỉnh tổ chức thực hiện các nội dung của Quy chế thuộc chức năng quản lý nhà nước về giáo dục và đào tạo.”</w:t>
            </w:r>
          </w:p>
        </w:tc>
        <w:tc>
          <w:tcPr>
            <w:tcW w:w="3458" w:type="dxa"/>
            <w:tcMar>
              <w:top w:w="35" w:type="dxa"/>
              <w:left w:w="45" w:type="dxa"/>
              <w:bottom w:w="35" w:type="dxa"/>
              <w:right w:w="45" w:type="dxa"/>
            </w:tcMar>
          </w:tcPr>
          <w:p w:rsidR="00A26C88" w:rsidRPr="00A55531" w:rsidRDefault="00A26C88" w:rsidP="00A26C88">
            <w:pPr>
              <w:spacing w:after="0" w:line="240" w:lineRule="auto"/>
              <w:rPr>
                <w:szCs w:val="28"/>
              </w:rPr>
            </w:pPr>
            <w:r w:rsidRPr="00A55531">
              <w:rPr>
                <w:szCs w:val="28"/>
              </w:rPr>
              <w:t xml:space="preserve">Khoản hiện hành giao Sở Giáo dục và Đào tạo chủ trì tham mưu tổ chức triển khai toàn bộ Quy chế, đồng thời sử dụng các </w:t>
            </w:r>
            <w:r w:rsidRPr="00A55531">
              <w:rPr>
                <w:szCs w:val="28"/>
              </w:rPr>
              <w:t>cụm từ</w:t>
            </w:r>
            <w:r w:rsidRPr="00A55531">
              <w:rPr>
                <w:szCs w:val="28"/>
              </w:rPr>
              <w:t xml:space="preserve"> “hướng dẫn, theo dõi, đôn đốc, kiểm tra, tổng hợp báo cáo”. Trong khi đó, Quy chế bao gồm cả các nội dung thuộc lĩnh vực cư trú, an ninh, trật tự, xây dựng, nhà ở, phòng cháy, chữa cháy, môi trường và quản lý nhà trọ, cũng như các chủ thể không thuộc phạm vi </w:t>
            </w:r>
            <w:r w:rsidRPr="00A55531">
              <w:rPr>
                <w:szCs w:val="28"/>
              </w:rPr>
              <w:lastRenderedPageBreak/>
              <w:t>quản lý trực tiếp của Sở. Dự thảo giới hạn rõ vai trò của Sở ở việc chủ trì tham mưu Ủy ban nhân dân tỉnh tổ chức thực hiện các nội dung thuộc chức năng quản lý nhà nước về giáo dục và đào tạo; không quy định Sở hướng dẫn, theo dõi, đôn đốc, kiểm tra việc thực hiện toàn bộ Quy chế hoặc các lĩnh vực quản lý nhà nước chuyên ngành khác.</w:t>
            </w:r>
          </w:p>
        </w:tc>
        <w:tc>
          <w:tcPr>
            <w:tcW w:w="3572"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Điều 3, Điều 4 Thông tư số 15/2025/TT-BGDĐT, được sửa đổi, bổ sung bởi Thông tư số 45/2026/TT-BGDĐT, xác định vị trí, chức năng, nhiệm vụ, quyền hạn của Sở Giáo dục và Đào tạo trong lĩnh vực giáo dục và đào tạo.</w:t>
            </w:r>
          </w:p>
          <w:p w:rsidR="00A26C88" w:rsidRPr="00A55531" w:rsidRDefault="00A26C88" w:rsidP="008C7C97">
            <w:pPr>
              <w:spacing w:after="0" w:line="240" w:lineRule="auto"/>
              <w:rPr>
                <w:szCs w:val="28"/>
              </w:rPr>
            </w:pPr>
            <w:r w:rsidRPr="00A55531">
              <w:rPr>
                <w:szCs w:val="28"/>
              </w:rPr>
              <w:t>- Điều 26 Thông tư số 40/2026/TT-BGDĐT xác định trách nhiệm của cơ quan quản lý trực tiếp đối với các nhà trường trực thuộc.</w:t>
            </w:r>
          </w:p>
          <w:p w:rsidR="00A26C88" w:rsidRPr="00A55531" w:rsidRDefault="00A26C88" w:rsidP="008C7C97">
            <w:pPr>
              <w:spacing w:after="0" w:line="240" w:lineRule="auto"/>
              <w:rPr>
                <w:szCs w:val="28"/>
              </w:rPr>
            </w:pPr>
            <w:r w:rsidRPr="00A55531">
              <w:rPr>
                <w:szCs w:val="28"/>
              </w:rPr>
              <w:t xml:space="preserve">- Khoản 3 Điều 3 Quy chế quy </w:t>
            </w:r>
            <w:r w:rsidRPr="00A55531">
              <w:rPr>
                <w:szCs w:val="28"/>
              </w:rPr>
              <w:lastRenderedPageBreak/>
              <w:t>định việc phối hợp phải bảo đảm đúng chức năng, nhiệm vụ, quyền hạn của các cơ quan, đơn vị, địa phương.</w:t>
            </w:r>
          </w:p>
        </w:tc>
      </w:tr>
      <w:tr w:rsidR="00A26C88" w:rsidRPr="00A55531" w:rsidTr="008C7C97">
        <w:trPr>
          <w:jc w:val="center"/>
        </w:trPr>
        <w:tc>
          <w:tcPr>
            <w:tcW w:w="630" w:type="dxa"/>
            <w:tcMar>
              <w:top w:w="35" w:type="dxa"/>
              <w:left w:w="45" w:type="dxa"/>
              <w:bottom w:w="35" w:type="dxa"/>
              <w:right w:w="45" w:type="dxa"/>
            </w:tcMar>
          </w:tcPr>
          <w:p w:rsidR="00A26C88" w:rsidRPr="00A55531" w:rsidRDefault="00A26C88" w:rsidP="008C7C97">
            <w:pPr>
              <w:spacing w:after="0" w:line="240" w:lineRule="auto"/>
              <w:jc w:val="center"/>
              <w:rPr>
                <w:szCs w:val="28"/>
              </w:rPr>
            </w:pPr>
            <w:r w:rsidRPr="00A55531">
              <w:rPr>
                <w:b/>
                <w:szCs w:val="28"/>
              </w:rPr>
              <w:lastRenderedPageBreak/>
              <w:t>5</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t>Khoản 4 Điều 16:</w:t>
            </w:r>
            <w:r w:rsidRPr="00A55531">
              <w:rPr>
                <w:szCs w:val="28"/>
              </w:rPr>
              <w:br/>
              <w:t xml:space="preserve">“4. Đại học Thái Nguyên và các cơ sở giáo dục có trách nhiệm cập nhật, tổng hợp thông tin về học sinh, sinh viên ngoại trú và tình hình quản lý nhà trọ thuộc phạm vi quản lý; cung cấp thông tin khi có yêu cầu của cơ quan có thẩm quyền. Việc trao đổi, cung cấp thông tin phải bảo đảm đúng quy định của pháp luật về bảo vệ dữ liệu cá nhân, bí mật đời tư, bí mật cá nhân và pháp luật có liên quan. Các cơ quan, đơn vị liên quan có trách nhiệm phối hợp cung cấp thông tin, số liệu theo chức năng, </w:t>
            </w:r>
            <w:r w:rsidRPr="00A55531">
              <w:rPr>
                <w:szCs w:val="28"/>
              </w:rPr>
              <w:lastRenderedPageBreak/>
              <w:t>nhiệm vụ được giao.”</w:t>
            </w:r>
          </w:p>
        </w:tc>
        <w:tc>
          <w:tcPr>
            <w:tcW w:w="3969"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xml:space="preserve">“4. Đại học Thái Nguyên và các cơ sở giáo dục có trách nhiệm cập nhật, tổng hợp thông tin về học sinh, sinh viên ngoại trú thuộc phạm vi quản lý; phối hợp trao đổi, cung cấp thông tin với Ủy ban nhân dân cấp xã, cơ quan công an và cơ quan, đơn vị có thẩm quyền theo quy định của pháp luật. Việc thu thập, trao đổi, cung cấp và sử dụng thông tin phải đúng mục đích, trong phạm vi cần thiết phục vụ công tác quản lý, hỗ trợ học sinh, sinh viên ngoại trú và tuân thủ quy định của pháp luật về bảo vệ dữ liệu cá </w:t>
            </w:r>
            <w:r w:rsidRPr="00A55531">
              <w:rPr>
                <w:szCs w:val="28"/>
              </w:rPr>
              <w:lastRenderedPageBreak/>
              <w:t>nhân, đời sống riêng tư, bí mật cá nhân, bí mật gia đình và pháp luật có liên quan.”</w:t>
            </w:r>
          </w:p>
        </w:tc>
        <w:tc>
          <w:tcPr>
            <w:tcW w:w="3458"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xml:space="preserve">Quy định hiện hành yêu cầu Đại học Thái Nguyên và các cơ sở giáo dục tổng hợp cả “tình hình quản lý nhà trọ thuộc phạm vi quản lý”, có thể dẫn đến cách hiểu cơ sở giáo dục có trách nhiệm quản lý nhà trọ. Dự thảo loại bỏ nội dung này, chỉ giữ trách nhiệm cập nhật, tổng hợp thông tin về học sinh, sinh viên ngoại trú thuộc phạm vi quản lý và cơ chế phối hợp trao đổi, cung cấp thông tin với cơ quan, đơn vị có thẩm quyền. Đồng thời, dự thảo </w:t>
            </w:r>
            <w:r w:rsidRPr="00A55531">
              <w:rPr>
                <w:szCs w:val="28"/>
              </w:rPr>
              <w:lastRenderedPageBreak/>
              <w:t>xác định rõ nguyên tắc xử lý thông tin: đúng mục đích, trong phạm vi cần thiết và tuân thủ các quy định về bảo vệ dữ liệu cá nhân và quyền riêng tư.</w:t>
            </w:r>
          </w:p>
        </w:tc>
        <w:tc>
          <w:tcPr>
            <w:tcW w:w="3572" w:type="dxa"/>
            <w:tcMar>
              <w:top w:w="35" w:type="dxa"/>
              <w:left w:w="45" w:type="dxa"/>
              <w:bottom w:w="35" w:type="dxa"/>
              <w:right w:w="45" w:type="dxa"/>
            </w:tcMar>
          </w:tcPr>
          <w:p w:rsidR="00A26C88" w:rsidRPr="00A55531" w:rsidRDefault="00A26C88" w:rsidP="008C7C97">
            <w:pPr>
              <w:spacing w:after="0" w:line="240" w:lineRule="auto"/>
              <w:rPr>
                <w:szCs w:val="28"/>
              </w:rPr>
            </w:pPr>
            <w:r w:rsidRPr="00A55531">
              <w:rPr>
                <w:szCs w:val="28"/>
              </w:rPr>
              <w:lastRenderedPageBreak/>
              <w:t>- Điều 15 Thông tư số 40/2026/TT-BGDĐT quy định trách nhiệm của nhà trường trong phối hợp với cơ quan chức năng địa phương, cơ quan công an, gia đình và chủ nhà trọ để quản lý, hỗ trợ sinh viên ngoại trú.</w:t>
            </w:r>
          </w:p>
          <w:p w:rsidR="00A26C88" w:rsidRPr="00A55531" w:rsidRDefault="00A26C88" w:rsidP="008C7C97">
            <w:pPr>
              <w:spacing w:after="0" w:line="240" w:lineRule="auto"/>
              <w:rPr>
                <w:szCs w:val="28"/>
              </w:rPr>
            </w:pPr>
            <w:r w:rsidRPr="00A55531">
              <w:rPr>
                <w:szCs w:val="28"/>
              </w:rPr>
              <w:t>- Luật Bảo vệ dữ liệu cá nhân số 91/2025/QH15 là căn cứ để bảo đảm việc thu thập, trao đổi, cung cấp và sử dụng dữ liệu cá nhân đúng mục đích, trong phạm vi cần thiết và theo quy định của pháp luật.</w:t>
            </w:r>
          </w:p>
          <w:p w:rsidR="00A26C88" w:rsidRPr="00A55531" w:rsidRDefault="00A26C88" w:rsidP="008C7C97">
            <w:pPr>
              <w:spacing w:after="0" w:line="240" w:lineRule="auto"/>
              <w:rPr>
                <w:szCs w:val="28"/>
              </w:rPr>
            </w:pPr>
            <w:r w:rsidRPr="00A55531">
              <w:rPr>
                <w:szCs w:val="28"/>
              </w:rPr>
              <w:t xml:space="preserve">- Trách nhiệm quản lý nhà trọ, </w:t>
            </w:r>
            <w:r w:rsidRPr="00A55531">
              <w:rPr>
                <w:szCs w:val="28"/>
              </w:rPr>
              <w:lastRenderedPageBreak/>
              <w:t>cư trú, an ninh, trật tự, xây dựng, phòng cháy, chữa cháy và môi trường tiếp tục được thực hiện theo các điều khoản tương ứng của Quy chế và pháp luật chuyên ngành.</w:t>
            </w:r>
          </w:p>
        </w:tc>
      </w:tr>
      <w:bookmarkEnd w:id="0"/>
    </w:tbl>
    <w:p w:rsidR="00A26C88" w:rsidRPr="00A26C88" w:rsidRDefault="00A26C88">
      <w:pPr>
        <w:spacing w:before="60" w:after="80" w:line="240" w:lineRule="auto"/>
        <w:ind w:firstLine="567"/>
        <w:jc w:val="both"/>
        <w:rPr>
          <w:sz w:val="26"/>
          <w:szCs w:val="26"/>
        </w:rPr>
      </w:pPr>
    </w:p>
    <w:p w:rsidR="00A26C88" w:rsidRPr="00A26C88" w:rsidRDefault="00A26C88">
      <w:pPr>
        <w:spacing w:before="60" w:after="80" w:line="240" w:lineRule="auto"/>
        <w:ind w:firstLine="567"/>
        <w:jc w:val="both"/>
        <w:rPr>
          <w:sz w:val="26"/>
          <w:szCs w:val="26"/>
        </w:rPr>
      </w:pPr>
    </w:p>
    <w:p w:rsidR="00A26C88" w:rsidRPr="00A26C88" w:rsidRDefault="00A26C88">
      <w:pPr>
        <w:spacing w:before="60" w:after="80" w:line="240" w:lineRule="auto"/>
        <w:ind w:firstLine="567"/>
        <w:jc w:val="both"/>
        <w:rPr>
          <w:sz w:val="26"/>
          <w:szCs w:val="26"/>
        </w:rPr>
      </w:pPr>
    </w:p>
    <w:p w:rsidR="009C3FE9" w:rsidRPr="00A26C88" w:rsidRDefault="009C3FE9"/>
    <w:sectPr w:rsidR="009C3FE9" w:rsidRPr="00A26C88" w:rsidSect="00066B1F">
      <w:headerReference w:type="default" r:id="rId9"/>
      <w:pgSz w:w="16838" w:h="11906" w:orient="landscape" w:code="9"/>
      <w:pgMar w:top="851" w:right="851" w:bottom="851"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FE9" w:rsidRDefault="009C3FE9">
      <w:pPr>
        <w:spacing w:after="0" w:line="240" w:lineRule="auto"/>
      </w:pPr>
      <w:r>
        <w:separator/>
      </w:r>
    </w:p>
  </w:endnote>
  <w:endnote w:type="continuationSeparator" w:id="0">
    <w:p w:rsidR="009C3FE9" w:rsidRDefault="009C3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FE9" w:rsidRDefault="009C3FE9">
      <w:pPr>
        <w:spacing w:after="0" w:line="240" w:lineRule="auto"/>
      </w:pPr>
      <w:r>
        <w:separator/>
      </w:r>
    </w:p>
  </w:footnote>
  <w:footnote w:type="continuationSeparator" w:id="0">
    <w:p w:rsidR="009C3FE9" w:rsidRDefault="009C3F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920" w:rsidRDefault="009C3FE9">
    <w:pPr>
      <w:pStyle w:val="Header"/>
      <w:jc w:val="center"/>
    </w:pPr>
    <w:r>
      <w:rPr>
        <w:sz w:val="26"/>
      </w:rPr>
      <w:fldChar w:fldCharType="begin"/>
    </w:r>
    <w:r>
      <w:rPr>
        <w:sz w:val="26"/>
      </w:rPr>
      <w:instrText xml:space="preserve"> PAGE </w:instrText>
    </w:r>
    <w:r w:rsidR="00066B1F">
      <w:rPr>
        <w:sz w:val="26"/>
      </w:rPr>
      <w:fldChar w:fldCharType="separate"/>
    </w:r>
    <w:r w:rsidR="00A55531">
      <w:rPr>
        <w:noProof/>
        <w:sz w:val="26"/>
      </w:rPr>
      <w:t>4</w:t>
    </w:r>
    <w:r>
      <w:rPr>
        <w:sz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66B1F"/>
    <w:rsid w:val="0015074B"/>
    <w:rsid w:val="0029639D"/>
    <w:rsid w:val="00326F90"/>
    <w:rsid w:val="00540173"/>
    <w:rsid w:val="007D1920"/>
    <w:rsid w:val="009C3FE9"/>
    <w:rsid w:val="00A26C88"/>
    <w:rsid w:val="00A55531"/>
    <w:rsid w:val="00AA1D8D"/>
    <w:rsid w:val="00B47730"/>
    <w:rsid w:val="00B54F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A26C88"/>
    <w:pPr>
      <w:spacing w:before="100" w:beforeAutospacing="1" w:after="100" w:afterAutospacing="1" w:line="240" w:lineRule="auto"/>
    </w:pPr>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A26C88"/>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9696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DC15E-AAE5-4FD5-A96E-7F5FE08B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10</cp:revision>
  <dcterms:created xsi:type="dcterms:W3CDTF">2013-12-23T23:15:00Z</dcterms:created>
  <dcterms:modified xsi:type="dcterms:W3CDTF">2026-09-26T09:38:00Z</dcterms:modified>
  <cp:category/>
</cp:coreProperties>
</file>